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8" w:rsidRPr="005A7988" w:rsidRDefault="005A7988" w:rsidP="005A798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7988">
        <w:rPr>
          <w:rFonts w:ascii="Times New Roman" w:hAnsi="Times New Roman"/>
          <w:b/>
          <w:sz w:val="20"/>
          <w:szCs w:val="20"/>
        </w:rPr>
        <w:t>Аннотация дисциплины</w:t>
      </w:r>
      <w:proofErr w:type="gramStart"/>
      <w:r w:rsidRPr="005A7988">
        <w:rPr>
          <w:rFonts w:ascii="Times New Roman" w:hAnsi="Times New Roman"/>
          <w:b/>
          <w:sz w:val="20"/>
          <w:szCs w:val="20"/>
        </w:rPr>
        <w:t xml:space="preserve"> </w:t>
      </w:r>
      <w:r w:rsidR="00491E56" w:rsidRPr="005A7988">
        <w:rPr>
          <w:rFonts w:ascii="Times New Roman" w:hAnsi="Times New Roman"/>
          <w:sz w:val="20"/>
          <w:szCs w:val="20"/>
        </w:rPr>
        <w:t>В</w:t>
      </w:r>
      <w:proofErr w:type="gramEnd"/>
      <w:r w:rsidR="00491E56" w:rsidRPr="005A7988">
        <w:rPr>
          <w:rFonts w:ascii="Times New Roman" w:hAnsi="Times New Roman"/>
          <w:sz w:val="20"/>
          <w:szCs w:val="20"/>
        </w:rPr>
        <w:t xml:space="preserve"> 3.11.</w:t>
      </w:r>
      <w:r w:rsidR="00491E56" w:rsidRPr="005A7988">
        <w:rPr>
          <w:rFonts w:ascii="Times New Roman" w:hAnsi="Times New Roman"/>
          <w:b/>
          <w:sz w:val="20"/>
          <w:szCs w:val="20"/>
        </w:rPr>
        <w:t xml:space="preserve"> </w:t>
      </w:r>
      <w:r w:rsidRPr="005A7988">
        <w:rPr>
          <w:rFonts w:ascii="Times New Roman" w:hAnsi="Times New Roman"/>
          <w:b/>
          <w:sz w:val="20"/>
          <w:szCs w:val="20"/>
        </w:rPr>
        <w:t>«Культурология»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2552"/>
        <w:gridCol w:w="2410"/>
        <w:gridCol w:w="2409"/>
        <w:gridCol w:w="3638"/>
      </w:tblGrid>
      <w:tr w:rsidR="005A7988" w:rsidRPr="005A7988" w:rsidTr="00C759F7">
        <w:tc>
          <w:tcPr>
            <w:tcW w:w="817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693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638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5A7988" w:rsidRPr="005A7988" w:rsidTr="00C759F7">
        <w:tc>
          <w:tcPr>
            <w:tcW w:w="16220" w:type="dxa"/>
            <w:gridSpan w:val="7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5A7988" w:rsidRPr="005A7988" w:rsidTr="00C759F7">
        <w:trPr>
          <w:trHeight w:val="3251"/>
        </w:trPr>
        <w:tc>
          <w:tcPr>
            <w:tcW w:w="817" w:type="dxa"/>
          </w:tcPr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В 3.11.</w:t>
            </w:r>
          </w:p>
        </w:tc>
        <w:tc>
          <w:tcPr>
            <w:tcW w:w="1701" w:type="dxa"/>
          </w:tcPr>
          <w:p w:rsidR="005A7988" w:rsidRPr="005A7988" w:rsidRDefault="005A7988" w:rsidP="005A7988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5A7988" w:rsidRPr="005A7988" w:rsidRDefault="005A7988" w:rsidP="005A7988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988" w:rsidRPr="005A7988" w:rsidRDefault="005A7988" w:rsidP="005A7988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693" w:type="dxa"/>
          </w:tcPr>
          <w:p w:rsidR="005A7988" w:rsidRPr="005A7988" w:rsidRDefault="005A7988" w:rsidP="005A798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Культурология как интеллектуальная тенденция современности Культурология как наука. Генезис культурологического знания. Понятие и природа культуры. Основные понятия культурологи. Культура как система: сущность, структура, функции культуры. Типология культуры. Культура и история. Культура и общество. Культура и личность.</w:t>
            </w:r>
          </w:p>
          <w:p w:rsidR="005A7988" w:rsidRPr="005A7988" w:rsidRDefault="005A7988" w:rsidP="005A7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 xml:space="preserve">Культура поведения. Культурология как наука. Первобытная культура. Традиционный тип культуры древнего мира. Античность как тип культуры. Средневековый тип культуры. Культура эпохи Возрождения. Новоевропейская культура как доминанта мирового </w:t>
            </w:r>
            <w:proofErr w:type="spellStart"/>
            <w:r w:rsidRPr="005A7988">
              <w:rPr>
                <w:rFonts w:ascii="Times New Roman" w:hAnsi="Times New Roman"/>
                <w:sz w:val="20"/>
                <w:szCs w:val="20"/>
              </w:rPr>
              <w:t>цивилизационного</w:t>
            </w:r>
            <w:proofErr w:type="spellEnd"/>
            <w:r w:rsidRPr="005A7988">
              <w:rPr>
                <w:rFonts w:ascii="Times New Roman" w:hAnsi="Times New Roman"/>
                <w:sz w:val="20"/>
                <w:szCs w:val="20"/>
              </w:rPr>
              <w:t xml:space="preserve"> развития. Модерн как кризис общеевропейской мировоззренческой парадигмы. </w:t>
            </w:r>
            <w:proofErr w:type="spellStart"/>
            <w:r w:rsidRPr="005A7988">
              <w:rPr>
                <w:rFonts w:ascii="Times New Roman" w:hAnsi="Times New Roman"/>
                <w:sz w:val="20"/>
                <w:szCs w:val="20"/>
              </w:rPr>
              <w:t>Постмодернисткая</w:t>
            </w:r>
            <w:proofErr w:type="spellEnd"/>
            <w:r w:rsidRPr="005A7988">
              <w:rPr>
                <w:rFonts w:ascii="Times New Roman" w:hAnsi="Times New Roman"/>
                <w:sz w:val="20"/>
                <w:szCs w:val="20"/>
              </w:rPr>
              <w:t xml:space="preserve"> ситуация в культуре ХХ века. </w:t>
            </w:r>
            <w:proofErr w:type="spellStart"/>
            <w:r w:rsidRPr="005A7988">
              <w:rPr>
                <w:rFonts w:ascii="Times New Roman" w:hAnsi="Times New Roman"/>
                <w:sz w:val="20"/>
                <w:szCs w:val="20"/>
              </w:rPr>
              <w:t>Глобализационные</w:t>
            </w:r>
            <w:proofErr w:type="spellEnd"/>
            <w:r w:rsidRPr="005A7988">
              <w:rPr>
                <w:rFonts w:ascii="Times New Roman" w:hAnsi="Times New Roman"/>
                <w:sz w:val="20"/>
                <w:szCs w:val="20"/>
              </w:rPr>
              <w:t xml:space="preserve"> процессы современности.  Общие особенности русской культуры</w:t>
            </w:r>
          </w:p>
        </w:tc>
        <w:tc>
          <w:tcPr>
            <w:tcW w:w="2552" w:type="dxa"/>
          </w:tcPr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основные понятия, категории, концепции науки о культуре;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структуру, типологию  и особенности функционирования культуры как системы;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основные закономерности функционирования, сохранения и развития культуры;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основные этапы мирового культурно-исторического процесса;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основные культурно-исторические типы, их место и значение в мировом культурно-историческом процессе;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историю и особенности культуры России; место и значение русской культуры в мировом культурно-историческом процессе;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1"/>
              </w:numPr>
              <w:tabs>
                <w:tab w:val="clear" w:pos="784"/>
                <w:tab w:val="num" w:pos="1789"/>
              </w:tabs>
              <w:spacing w:after="0" w:line="240" w:lineRule="auto"/>
              <w:ind w:left="300" w:hanging="27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основные характеристики профессиональной культуры своей профессиональной сферы;</w:t>
            </w:r>
          </w:p>
          <w:p w:rsidR="005A7988" w:rsidRPr="005A7988" w:rsidRDefault="005A7988" w:rsidP="005A79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7988" w:rsidRPr="005A7988" w:rsidRDefault="005A7988" w:rsidP="005A7988">
            <w:pPr>
              <w:pStyle w:val="2"/>
              <w:numPr>
                <w:ilvl w:val="0"/>
                <w:numId w:val="2"/>
              </w:numPr>
              <w:tabs>
                <w:tab w:val="clear" w:pos="1428"/>
              </w:tabs>
              <w:spacing w:after="0" w:line="240" w:lineRule="auto"/>
              <w:ind w:left="395" w:hanging="395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ab/>
              <w:t>анализировать явления культуры в культурно-историческом контексте;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2"/>
              </w:numPr>
              <w:tabs>
                <w:tab w:val="clear" w:pos="1428"/>
              </w:tabs>
              <w:spacing w:after="0" w:line="240" w:lineRule="auto"/>
              <w:ind w:left="395" w:hanging="395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  анализировать и интерпретировать тексты культуры;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2"/>
              </w:numPr>
              <w:tabs>
                <w:tab w:val="clear" w:pos="1428"/>
              </w:tabs>
              <w:spacing w:after="0" w:line="240" w:lineRule="auto"/>
              <w:ind w:left="395" w:hanging="395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анализировать и систематизировать теоретический материал по дисциплине «Культурология», определять цели изучения отдельных тем и проблем дисциплины, намечать пути из достижения;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2"/>
              </w:numPr>
              <w:tabs>
                <w:tab w:val="clear" w:pos="1428"/>
              </w:tabs>
              <w:spacing w:after="0" w:line="240" w:lineRule="auto"/>
              <w:ind w:left="395" w:hanging="395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выступать перед аудиторией и участвовать в обсуждении вопросов культурологической проблематики;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2"/>
              </w:numPr>
              <w:tabs>
                <w:tab w:val="clear" w:pos="1428"/>
              </w:tabs>
              <w:spacing w:after="0" w:line="240" w:lineRule="auto"/>
              <w:ind w:left="395" w:hanging="395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анализировать верность собственной точки зрения и быть способным к интеллектуальной дискуссии.</w:t>
            </w:r>
          </w:p>
          <w:p w:rsidR="005A7988" w:rsidRPr="005A7988" w:rsidRDefault="005A7988" w:rsidP="005A7988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5A7988" w:rsidRPr="005A7988" w:rsidRDefault="005A7988" w:rsidP="005A79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A7988" w:rsidRPr="005A7988" w:rsidRDefault="005A7988" w:rsidP="005A7988">
            <w:pPr>
              <w:pStyle w:val="2"/>
              <w:numPr>
                <w:ilvl w:val="0"/>
                <w:numId w:val="3"/>
              </w:numPr>
              <w:tabs>
                <w:tab w:val="clear" w:pos="1428"/>
                <w:tab w:val="num" w:pos="350"/>
              </w:tabs>
              <w:spacing w:after="0" w:line="240" w:lineRule="auto"/>
              <w:ind w:left="305" w:right="530" w:hanging="34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навыками поиска, обработки и систематизации информационного и аудиовизуального материала по дисциплине «Культурология»;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3"/>
              </w:numPr>
              <w:tabs>
                <w:tab w:val="clear" w:pos="1428"/>
                <w:tab w:val="num" w:pos="350"/>
              </w:tabs>
              <w:spacing w:after="0" w:line="240" w:lineRule="auto"/>
              <w:ind w:left="305" w:right="530" w:hanging="34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приемами работы с компьютером как средством получения информации, в т.ч. в глобальных компьютерных сетях; </w:t>
            </w:r>
          </w:p>
          <w:p w:rsidR="005A7988" w:rsidRPr="005A7988" w:rsidRDefault="005A7988" w:rsidP="005A7988">
            <w:pPr>
              <w:pStyle w:val="2"/>
              <w:numPr>
                <w:ilvl w:val="0"/>
                <w:numId w:val="3"/>
              </w:numPr>
              <w:tabs>
                <w:tab w:val="clear" w:pos="1428"/>
                <w:tab w:val="num" w:pos="350"/>
              </w:tabs>
              <w:spacing w:after="0" w:line="240" w:lineRule="auto"/>
              <w:ind w:left="305" w:right="530" w:hanging="343"/>
              <w:jc w:val="both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навыками применения прикладных программных сре</w:t>
            </w:r>
            <w:proofErr w:type="gramStart"/>
            <w:r w:rsidRPr="005A7988">
              <w:rPr>
                <w:sz w:val="20"/>
                <w:szCs w:val="20"/>
              </w:rPr>
              <w:t>дств дл</w:t>
            </w:r>
            <w:proofErr w:type="gramEnd"/>
            <w:r w:rsidRPr="005A7988">
              <w:rPr>
                <w:sz w:val="20"/>
                <w:szCs w:val="20"/>
              </w:rPr>
              <w:t xml:space="preserve">я аудиовизуального иллюстрирования теоретического материала дисциплины «Культурология» (в процессе самостоятельной работы, а также для </w:t>
            </w:r>
            <w:r w:rsidRPr="005A7988">
              <w:rPr>
                <w:sz w:val="20"/>
                <w:szCs w:val="20"/>
              </w:rPr>
              <w:lastRenderedPageBreak/>
              <w:t>подготовки к практическим занятиям);</w:t>
            </w:r>
          </w:p>
          <w:p w:rsidR="005A7988" w:rsidRPr="005A7988" w:rsidRDefault="005A7988" w:rsidP="005A7988">
            <w:pPr>
              <w:pStyle w:val="a3"/>
              <w:numPr>
                <w:ilvl w:val="0"/>
                <w:numId w:val="3"/>
              </w:numPr>
              <w:tabs>
                <w:tab w:val="num" w:pos="350"/>
              </w:tabs>
              <w:spacing w:line="240" w:lineRule="auto"/>
              <w:ind w:left="305" w:right="530" w:hanging="343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>приемами ясного, логичного и аргументированного изложения мысли в устной и письменной форме.</w:t>
            </w:r>
          </w:p>
        </w:tc>
        <w:tc>
          <w:tcPr>
            <w:tcW w:w="3638" w:type="dxa"/>
          </w:tcPr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lastRenderedPageBreak/>
              <w:t xml:space="preserve">-  владеет культурой мышления, </w:t>
            </w:r>
            <w:proofErr w:type="gramStart"/>
            <w:r w:rsidRPr="005A7988">
              <w:rPr>
                <w:sz w:val="20"/>
                <w:szCs w:val="20"/>
              </w:rPr>
              <w:t>способен</w:t>
            </w:r>
            <w:proofErr w:type="gramEnd"/>
            <w:r w:rsidRPr="005A7988">
              <w:rPr>
                <w:sz w:val="20"/>
                <w:szCs w:val="20"/>
              </w:rPr>
              <w:t xml:space="preserve"> к обобщению, анализу восприятию информации, постановке цели и выбору путей ее достижения (ОК – 1);</w:t>
            </w:r>
          </w:p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- </w:t>
            </w:r>
            <w:proofErr w:type="gramStart"/>
            <w:r w:rsidRPr="005A7988">
              <w:rPr>
                <w:sz w:val="20"/>
                <w:szCs w:val="20"/>
              </w:rPr>
              <w:t>способен</w:t>
            </w:r>
            <w:proofErr w:type="gramEnd"/>
            <w:r w:rsidRPr="005A7988">
              <w:rPr>
                <w:sz w:val="20"/>
                <w:szCs w:val="20"/>
              </w:rPr>
              <w:t xml:space="preserve"> грамотно и квалифицированно, устно и письменно излагать мысли на русском языке, владеть навыками публичной и научной речи (ОК-2);</w:t>
            </w:r>
          </w:p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- </w:t>
            </w:r>
            <w:proofErr w:type="gramStart"/>
            <w:r w:rsidRPr="005A7988">
              <w:rPr>
                <w:sz w:val="20"/>
                <w:szCs w:val="20"/>
              </w:rPr>
              <w:t>способен</w:t>
            </w:r>
            <w:proofErr w:type="gramEnd"/>
            <w:r w:rsidRPr="005A7988">
              <w:rPr>
                <w:sz w:val="20"/>
                <w:szCs w:val="20"/>
              </w:rPr>
              <w:t xml:space="preserve"> осуществлять интеллектуальное, культурное, нравственное и профессиональное саморазвитие и самоусовершенствование, повышать свою квалификацию и мастерство (ОК-6)</w:t>
            </w:r>
          </w:p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- способен понимать и анализировать мировоззренческие, социально и личностно значимые философские проблемы, знать основные положения и методы гуманитарных, социальных наук, способен использовать их при решении социальных и профессиональных задач, способен анализировать социально значимые и художественные  проблемы и процессы (ОК-9); </w:t>
            </w:r>
          </w:p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5A7988">
              <w:rPr>
                <w:sz w:val="20"/>
                <w:szCs w:val="20"/>
              </w:rPr>
              <w:t>способен</w:t>
            </w:r>
            <w:proofErr w:type="gramEnd"/>
            <w:r w:rsidRPr="005A7988">
              <w:rPr>
                <w:sz w:val="20"/>
                <w:szCs w:val="20"/>
              </w:rPr>
              <w:t xml:space="preserve"> работать с информацией в глобальных компьютерных сетях (ОК – 13).</w:t>
            </w:r>
          </w:p>
          <w:p w:rsidR="005A7988" w:rsidRPr="005A7988" w:rsidRDefault="005A7988" w:rsidP="005A7988">
            <w:pPr>
              <w:pStyle w:val="a3"/>
              <w:spacing w:line="240" w:lineRule="auto"/>
              <w:ind w:left="142"/>
              <w:rPr>
                <w:sz w:val="20"/>
                <w:szCs w:val="20"/>
              </w:rPr>
            </w:pPr>
            <w:r w:rsidRPr="005A7988">
              <w:rPr>
                <w:sz w:val="20"/>
                <w:szCs w:val="20"/>
              </w:rPr>
              <w:t xml:space="preserve">- способен критически осмысливать накопленный опыт, изменять при необходимости профиль своей </w:t>
            </w:r>
            <w:r w:rsidRPr="005A7988">
              <w:rPr>
                <w:sz w:val="20"/>
                <w:szCs w:val="20"/>
              </w:rPr>
              <w:lastRenderedPageBreak/>
              <w:t>профессиональной деятельности, способен к социальной адаптации (ОК - 17);</w:t>
            </w:r>
          </w:p>
          <w:p w:rsidR="005A7988" w:rsidRPr="005A7988" w:rsidRDefault="005A7988" w:rsidP="005A7988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88">
              <w:rPr>
                <w:rFonts w:ascii="Times New Roman" w:hAnsi="Times New Roman"/>
                <w:sz w:val="20"/>
                <w:szCs w:val="20"/>
              </w:rPr>
              <w:t xml:space="preserve"> - готов уважительно и бережно относиться к историческому наследию, наследию истории искусства и культурным ценностям, терпимо воспринимать социальные, </w:t>
            </w:r>
            <w:proofErr w:type="spellStart"/>
            <w:r w:rsidRPr="005A7988">
              <w:rPr>
                <w:rFonts w:ascii="Times New Roman" w:hAnsi="Times New Roman"/>
                <w:sz w:val="20"/>
                <w:szCs w:val="20"/>
              </w:rPr>
              <w:t>этно-национальные</w:t>
            </w:r>
            <w:proofErr w:type="spellEnd"/>
            <w:r w:rsidRPr="005A7988">
              <w:rPr>
                <w:rFonts w:ascii="Times New Roman" w:hAnsi="Times New Roman"/>
                <w:sz w:val="20"/>
                <w:szCs w:val="20"/>
              </w:rPr>
              <w:t>, религиозные и культурные различия (ОК – 18)</w:t>
            </w:r>
          </w:p>
          <w:p w:rsidR="005A7988" w:rsidRPr="005A7988" w:rsidRDefault="005A7988" w:rsidP="005A7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4425" w:rsidRPr="005A7988" w:rsidRDefault="00A04425" w:rsidP="005A7988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A04425" w:rsidRPr="005A7988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5116340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988"/>
    <w:rsid w:val="00491E56"/>
    <w:rsid w:val="005A7988"/>
    <w:rsid w:val="00A04425"/>
    <w:rsid w:val="00D6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A7988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A798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A7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3436</Characters>
  <Application>Microsoft Office Word</Application>
  <DocSecurity>0</DocSecurity>
  <Lines>28</Lines>
  <Paragraphs>8</Paragraphs>
  <ScaleCrop>false</ScaleCrop>
  <Company>Home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2</cp:revision>
  <dcterms:created xsi:type="dcterms:W3CDTF">2013-03-31T03:23:00Z</dcterms:created>
  <dcterms:modified xsi:type="dcterms:W3CDTF">2014-04-28T10:47:00Z</dcterms:modified>
</cp:coreProperties>
</file>