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5A" w:rsidRPr="00714A04" w:rsidRDefault="0043725A" w:rsidP="0043725A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43725A" w:rsidRPr="00714A04" w:rsidRDefault="0043725A" w:rsidP="0043725A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43725A" w:rsidRPr="00714A04" w:rsidRDefault="0043725A" w:rsidP="0043725A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center"/>
        <w:rPr>
          <w:b/>
          <w:iCs/>
          <w:sz w:val="28"/>
          <w:szCs w:val="28"/>
        </w:rPr>
      </w:pPr>
      <w:r w:rsidRPr="00714A04">
        <w:rPr>
          <w:b/>
          <w:iCs/>
          <w:sz w:val="28"/>
          <w:szCs w:val="28"/>
        </w:rPr>
        <w:t>Вариативная часть профессионального блока:</w:t>
      </w:r>
    </w:p>
    <w:p w:rsidR="0043725A" w:rsidRPr="00714A04" w:rsidRDefault="0043725A" w:rsidP="0043725A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color w:val="000000"/>
          <w:sz w:val="28"/>
          <w:szCs w:val="28"/>
        </w:rPr>
      </w:pPr>
    </w:p>
    <w:p w:rsidR="0043725A" w:rsidRPr="00714A04" w:rsidRDefault="0043725A" w:rsidP="0043725A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color w:val="000000"/>
          <w:sz w:val="28"/>
          <w:szCs w:val="28"/>
        </w:rPr>
      </w:pPr>
      <w:r w:rsidRPr="00714A04">
        <w:rPr>
          <w:b/>
          <w:bCs/>
          <w:sz w:val="28"/>
          <w:szCs w:val="28"/>
        </w:rPr>
        <w:t>В.3.05. Введение в практическую и пастырскую теологию</w:t>
      </w:r>
    </w:p>
    <w:p w:rsidR="0043725A" w:rsidRPr="00714A04" w:rsidRDefault="0043725A" w:rsidP="0043725A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sz w:val="28"/>
          <w:szCs w:val="28"/>
        </w:rPr>
        <w:t>Дисциплина трудоёмкостью 3 зачётных единиц или 108 часа</w:t>
      </w:r>
      <w:proofErr w:type="gramStart"/>
      <w:r w:rsidRPr="00714A04">
        <w:rPr>
          <w:sz w:val="28"/>
          <w:szCs w:val="28"/>
        </w:rPr>
        <w:t xml:space="preserve">.. </w:t>
      </w:r>
      <w:proofErr w:type="gramEnd"/>
      <w:r w:rsidRPr="00714A04">
        <w:rPr>
          <w:sz w:val="28"/>
          <w:szCs w:val="28"/>
        </w:rPr>
        <w:t xml:space="preserve">Итоговая аттестация – зачет. </w:t>
      </w:r>
    </w:p>
    <w:p w:rsidR="0043725A" w:rsidRPr="00714A04" w:rsidRDefault="0043725A" w:rsidP="0043725A">
      <w:pPr>
        <w:pStyle w:val="Default"/>
        <w:jc w:val="both"/>
        <w:rPr>
          <w:sz w:val="28"/>
          <w:szCs w:val="28"/>
        </w:rPr>
      </w:pPr>
    </w:p>
    <w:p w:rsidR="0043725A" w:rsidRPr="00714A04" w:rsidRDefault="0043725A" w:rsidP="0043725A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Аннотация: Введение в проблематику предмета. Богословские обоснования социального служения Церкви. Истоки христианской православной </w:t>
      </w:r>
      <w:proofErr w:type="spellStart"/>
      <w:r w:rsidRPr="00714A04">
        <w:rPr>
          <w:sz w:val="28"/>
          <w:szCs w:val="28"/>
        </w:rPr>
        <w:t>диаконии</w:t>
      </w:r>
      <w:proofErr w:type="spellEnd"/>
      <w:r w:rsidRPr="00714A04">
        <w:rPr>
          <w:sz w:val="28"/>
          <w:szCs w:val="28"/>
        </w:rPr>
        <w:t xml:space="preserve">. </w:t>
      </w:r>
      <w:proofErr w:type="spellStart"/>
      <w:r w:rsidRPr="00714A04">
        <w:rPr>
          <w:sz w:val="28"/>
          <w:szCs w:val="28"/>
        </w:rPr>
        <w:t>Инославный</w:t>
      </w:r>
      <w:proofErr w:type="spellEnd"/>
      <w:r w:rsidRPr="00714A04">
        <w:rPr>
          <w:sz w:val="28"/>
          <w:szCs w:val="28"/>
        </w:rPr>
        <w:t xml:space="preserve"> </w:t>
      </w:r>
      <w:proofErr w:type="spellStart"/>
      <w:r w:rsidRPr="00714A04">
        <w:rPr>
          <w:sz w:val="28"/>
          <w:szCs w:val="28"/>
        </w:rPr>
        <w:t>каритативный</w:t>
      </w:r>
      <w:proofErr w:type="spellEnd"/>
      <w:r w:rsidRPr="00714A04">
        <w:rPr>
          <w:sz w:val="28"/>
          <w:szCs w:val="28"/>
        </w:rPr>
        <w:t xml:space="preserve"> опыт. </w:t>
      </w:r>
      <w:proofErr w:type="gramStart"/>
      <w:r w:rsidRPr="00714A04">
        <w:rPr>
          <w:sz w:val="28"/>
          <w:szCs w:val="28"/>
        </w:rPr>
        <w:t xml:space="preserve">Основные формы и направления социальной </w:t>
      </w:r>
      <w:proofErr w:type="spellStart"/>
      <w:r w:rsidRPr="00714A04">
        <w:rPr>
          <w:sz w:val="28"/>
          <w:szCs w:val="28"/>
        </w:rPr>
        <w:t>диаконии</w:t>
      </w:r>
      <w:proofErr w:type="spellEnd"/>
      <w:r w:rsidRPr="00714A04">
        <w:rPr>
          <w:sz w:val="28"/>
          <w:szCs w:val="28"/>
        </w:rPr>
        <w:t>.</w:t>
      </w:r>
      <w:proofErr w:type="gramEnd"/>
      <w:r w:rsidRPr="00714A04">
        <w:rPr>
          <w:sz w:val="28"/>
          <w:szCs w:val="28"/>
        </w:rPr>
        <w:t xml:space="preserve"> Пастырство. Иные формы практической теологии </w:t>
      </w:r>
    </w:p>
    <w:p w:rsidR="0043725A" w:rsidRPr="00714A04" w:rsidRDefault="0043725A" w:rsidP="0043725A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В результате освоения дисциплины студент должен: </w:t>
      </w:r>
    </w:p>
    <w:p w:rsidR="0043725A" w:rsidRPr="00714A04" w:rsidRDefault="0043725A" w:rsidP="0043725A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Знать: </w:t>
      </w:r>
    </w:p>
    <w:p w:rsidR="0043725A" w:rsidRPr="00714A04" w:rsidRDefault="0043725A" w:rsidP="0043725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нормы традиционной морали и нравственности; </w:t>
      </w:r>
    </w:p>
    <w:p w:rsidR="0043725A" w:rsidRPr="00714A04" w:rsidRDefault="0043725A" w:rsidP="0043725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корпус основных законодательных актов о религиозных объединениях и федеральное законодательство о социальной работе; </w:t>
      </w:r>
    </w:p>
    <w:p w:rsidR="0043725A" w:rsidRPr="00714A04" w:rsidRDefault="0043725A" w:rsidP="0043725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богословские основания, принципы, методы и формы профессиональной деятельности теолога; </w:t>
      </w:r>
    </w:p>
    <w:p w:rsidR="0043725A" w:rsidRPr="00714A04" w:rsidRDefault="0043725A" w:rsidP="0043725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современное состояние государственно-конфессиональных и общественно-конфессиональных отношений и практических аспектов жизни </w:t>
      </w:r>
      <w:proofErr w:type="spellStart"/>
      <w:r w:rsidRPr="00714A04">
        <w:rPr>
          <w:sz w:val="28"/>
          <w:szCs w:val="28"/>
        </w:rPr>
        <w:t>конфессии</w:t>
      </w:r>
      <w:proofErr w:type="spellEnd"/>
      <w:r w:rsidRPr="00714A04">
        <w:rPr>
          <w:sz w:val="28"/>
          <w:szCs w:val="28"/>
        </w:rPr>
        <w:t xml:space="preserve">; </w:t>
      </w:r>
    </w:p>
    <w:p w:rsidR="0043725A" w:rsidRPr="00714A04" w:rsidRDefault="0043725A" w:rsidP="0043725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>основы конфессиональной социальной доктрины</w:t>
      </w:r>
      <w:r w:rsidRPr="00714A04">
        <w:rPr>
          <w:b/>
          <w:bCs/>
          <w:sz w:val="28"/>
          <w:szCs w:val="28"/>
        </w:rPr>
        <w:t xml:space="preserve">. </w:t>
      </w:r>
    </w:p>
    <w:p w:rsidR="0043725A" w:rsidRPr="00714A04" w:rsidRDefault="0043725A" w:rsidP="0043725A">
      <w:pPr>
        <w:pStyle w:val="Default"/>
        <w:jc w:val="both"/>
        <w:rPr>
          <w:sz w:val="28"/>
          <w:szCs w:val="28"/>
        </w:rPr>
      </w:pPr>
    </w:p>
    <w:p w:rsidR="0043725A" w:rsidRPr="00714A04" w:rsidRDefault="0043725A" w:rsidP="0043725A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Уметь: </w:t>
      </w:r>
    </w:p>
    <w:p w:rsidR="0043725A" w:rsidRPr="00714A04" w:rsidRDefault="0043725A" w:rsidP="0043725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анализировать и использовать полученную информацию в учебной и профессиональной деятельности; </w:t>
      </w:r>
    </w:p>
    <w:p w:rsidR="0043725A" w:rsidRPr="00714A04" w:rsidRDefault="0043725A" w:rsidP="0043725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полученную базу богословских знаний в профессиональной деятельности теолога; </w:t>
      </w:r>
    </w:p>
    <w:p w:rsidR="0043725A" w:rsidRPr="00714A04" w:rsidRDefault="0043725A" w:rsidP="0043725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исследовать практическую деятельность общины, обрабатывать и применять на практике полученные результаты; </w:t>
      </w:r>
    </w:p>
    <w:p w:rsidR="0043725A" w:rsidRPr="00714A04" w:rsidRDefault="0043725A" w:rsidP="0043725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анализировать, использовать и применять знания основных разделов теологии в их взаимосвязи. </w:t>
      </w:r>
    </w:p>
    <w:p w:rsidR="0043725A" w:rsidRPr="00714A04" w:rsidRDefault="0043725A" w:rsidP="0043725A">
      <w:pPr>
        <w:pStyle w:val="Default"/>
        <w:jc w:val="both"/>
        <w:rPr>
          <w:sz w:val="28"/>
          <w:szCs w:val="28"/>
        </w:rPr>
      </w:pPr>
    </w:p>
    <w:p w:rsidR="0043725A" w:rsidRPr="00714A04" w:rsidRDefault="0043725A" w:rsidP="0043725A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Владеть: </w:t>
      </w:r>
    </w:p>
    <w:p w:rsidR="0043725A" w:rsidRPr="00714A04" w:rsidRDefault="0043725A" w:rsidP="0043725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14A04">
        <w:rPr>
          <w:sz w:val="28"/>
          <w:szCs w:val="28"/>
        </w:rPr>
        <w:t>категорийным</w:t>
      </w:r>
      <w:proofErr w:type="spellEnd"/>
      <w:r w:rsidRPr="00714A04">
        <w:rPr>
          <w:sz w:val="28"/>
          <w:szCs w:val="28"/>
        </w:rPr>
        <w:t xml:space="preserve"> аппаратом науки; </w:t>
      </w:r>
    </w:p>
    <w:p w:rsidR="0043725A" w:rsidRPr="00714A04" w:rsidRDefault="0043725A" w:rsidP="0043725A">
      <w:pPr>
        <w:pStyle w:val="Default"/>
        <w:jc w:val="both"/>
        <w:rPr>
          <w:sz w:val="28"/>
          <w:szCs w:val="28"/>
        </w:rPr>
      </w:pPr>
      <w:r w:rsidRPr="00714A04">
        <w:rPr>
          <w:bCs/>
          <w:sz w:val="28"/>
          <w:szCs w:val="28"/>
        </w:rPr>
        <w:t xml:space="preserve">Формируемые компетенции </w:t>
      </w:r>
      <w:r w:rsidRPr="00714A04">
        <w:rPr>
          <w:sz w:val="28"/>
          <w:szCs w:val="28"/>
        </w:rPr>
        <w:t xml:space="preserve">ОК-3, ОК-18, ПК-7, ПК-13 </w:t>
      </w:r>
    </w:p>
    <w:p w:rsidR="0043725A" w:rsidRPr="00714A04" w:rsidRDefault="0043725A" w:rsidP="0043725A">
      <w:pPr>
        <w:pStyle w:val="Default"/>
        <w:jc w:val="both"/>
        <w:rPr>
          <w:sz w:val="28"/>
          <w:szCs w:val="28"/>
        </w:rPr>
      </w:pPr>
    </w:p>
    <w:p w:rsidR="005D3E2C" w:rsidRDefault="005D3E2C"/>
    <w:sectPr w:rsidR="005D3E2C" w:rsidSect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4A78"/>
    <w:multiLevelType w:val="hybridMultilevel"/>
    <w:tmpl w:val="21D8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725A"/>
    <w:rsid w:val="0043725A"/>
    <w:rsid w:val="005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Южно-Уральский государственный университет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Парфентьев НП</cp:lastModifiedBy>
  <cp:revision>1</cp:revision>
  <dcterms:created xsi:type="dcterms:W3CDTF">2013-11-22T03:25:00Z</dcterms:created>
  <dcterms:modified xsi:type="dcterms:W3CDTF">2013-11-22T03:26:00Z</dcterms:modified>
</cp:coreProperties>
</file>