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D5" w:rsidRPr="00714A04" w:rsidRDefault="007C6AD5" w:rsidP="007C6AD5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7C6AD5" w:rsidRPr="00714A04" w:rsidRDefault="007C6AD5" w:rsidP="007C6AD5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7C6AD5" w:rsidRPr="00714A04" w:rsidRDefault="007C6AD5" w:rsidP="007C6AD5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center"/>
        <w:rPr>
          <w:b/>
          <w:iCs/>
          <w:sz w:val="28"/>
          <w:szCs w:val="28"/>
        </w:rPr>
      </w:pPr>
      <w:r w:rsidRPr="00714A04">
        <w:rPr>
          <w:b/>
          <w:iCs/>
          <w:sz w:val="28"/>
          <w:szCs w:val="28"/>
        </w:rPr>
        <w:t>Вариативная часть профессионального блока:</w:t>
      </w:r>
    </w:p>
    <w:p w:rsidR="007C6AD5" w:rsidRPr="00714A04" w:rsidRDefault="007C6AD5" w:rsidP="007C6AD5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iCs/>
          <w:sz w:val="28"/>
          <w:szCs w:val="28"/>
        </w:rPr>
      </w:pPr>
    </w:p>
    <w:p w:rsidR="007C6AD5" w:rsidRPr="00714A04" w:rsidRDefault="007C6AD5" w:rsidP="007C6AD5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В.3.03. Экзегетика Н</w:t>
      </w:r>
      <w:r w:rsidRPr="00714A04">
        <w:rPr>
          <w:b/>
          <w:sz w:val="28"/>
          <w:szCs w:val="28"/>
        </w:rPr>
        <w:t xml:space="preserve">ового Завета. </w:t>
      </w:r>
      <w:r w:rsidRPr="00714A04">
        <w:rPr>
          <w:sz w:val="28"/>
          <w:szCs w:val="28"/>
        </w:rPr>
        <w:t>Дисциплина трудоёмкостью 6 зачётных единиц или 216 часа</w:t>
      </w:r>
      <w:proofErr w:type="gramStart"/>
      <w:r w:rsidRPr="00714A04">
        <w:rPr>
          <w:sz w:val="28"/>
          <w:szCs w:val="28"/>
        </w:rPr>
        <w:t xml:space="preserve">.. </w:t>
      </w:r>
      <w:proofErr w:type="gramEnd"/>
      <w:r w:rsidRPr="00714A04">
        <w:rPr>
          <w:sz w:val="28"/>
          <w:szCs w:val="28"/>
        </w:rPr>
        <w:t>Итоговая аттестация – 2 зачета, экзамен.</w:t>
      </w:r>
    </w:p>
    <w:p w:rsidR="007C6AD5" w:rsidRPr="00714A04" w:rsidRDefault="007C6AD5" w:rsidP="007C6AD5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Аннотация: Проблема текстологии синоптических Евангелий. Богословская тематика синоптических евангелий. Теория двух источников. Характеристика источника Марка, источника логий Q и особого материала Матфея и Луки. </w:t>
      </w:r>
    </w:p>
    <w:p w:rsidR="007C6AD5" w:rsidRPr="00714A04" w:rsidRDefault="007C6AD5" w:rsidP="007C6AD5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Экзегетика общественного служения Господа Иисуса Христа в синоптических Евангелиях. </w:t>
      </w:r>
    </w:p>
    <w:p w:rsidR="007C6AD5" w:rsidRPr="00714A04" w:rsidRDefault="007C6AD5" w:rsidP="007C6AD5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Проблема текстологии Евангелия от Иоанна. Генезис Евангелия от Иоанна. </w:t>
      </w:r>
    </w:p>
    <w:p w:rsidR="007C6AD5" w:rsidRPr="00714A04" w:rsidRDefault="007C6AD5" w:rsidP="007C6AD5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Экзегетический анализ пророческое, царское и </w:t>
      </w:r>
      <w:proofErr w:type="spellStart"/>
      <w:r w:rsidRPr="00714A04">
        <w:rPr>
          <w:sz w:val="28"/>
          <w:szCs w:val="28"/>
        </w:rPr>
        <w:t>первосвященническое</w:t>
      </w:r>
      <w:proofErr w:type="spellEnd"/>
      <w:r w:rsidRPr="00714A04">
        <w:rPr>
          <w:sz w:val="28"/>
          <w:szCs w:val="28"/>
        </w:rPr>
        <w:t xml:space="preserve"> служение Иисуса Христа. Чудеса и проповеди Иисуса Христа по Евангелию от Иоанна. </w:t>
      </w:r>
    </w:p>
    <w:p w:rsidR="007C6AD5" w:rsidRPr="00714A04" w:rsidRDefault="007C6AD5" w:rsidP="007C6AD5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7C6AD5" w:rsidRPr="00714A04" w:rsidRDefault="007C6AD5" w:rsidP="007C6AD5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методологию и структуру современной науки при изучении норм и принципов евангельского вероучения для осмысления общечеловеческого знания;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основы древнееврейского, латинского, древнегреческого и церковнославянского языков;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текст Евангелия, </w:t>
      </w:r>
      <w:proofErr w:type="spellStart"/>
      <w:r w:rsidRPr="00714A04">
        <w:rPr>
          <w:sz w:val="28"/>
          <w:szCs w:val="28"/>
        </w:rPr>
        <w:t>святоотеческую</w:t>
      </w:r>
      <w:proofErr w:type="spellEnd"/>
      <w:r w:rsidRPr="00714A04">
        <w:rPr>
          <w:sz w:val="28"/>
          <w:szCs w:val="28"/>
        </w:rPr>
        <w:t xml:space="preserve"> критику указанных текстов;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об использовании в работе электронных ресурсов по проблематике экзегетического анализа Евангелия.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дифференцированно использовать имеющие знания применительно к сфере деятельности теолога;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различать нюансы экзегетического толкования Евангелия в аспекте разных языков;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проводить экзегетический анализ в контексте текста с привлечением правил параллелизма;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пользоваться техническими модулями электронной Библии.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современными технологиями позволяющими достичь максимальной эффективности;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знаниями евангельского текста, грамматикой сакральных языков;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грамматикой сакральных текстов; </w:t>
      </w:r>
    </w:p>
    <w:p w:rsidR="007C6AD5" w:rsidRPr="00714A04" w:rsidRDefault="007C6AD5" w:rsidP="007C6AD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 написанием шрифтов сакральных текстов в электронном виде </w:t>
      </w:r>
    </w:p>
    <w:p w:rsidR="007C6AD5" w:rsidRPr="00714A04" w:rsidRDefault="007C6AD5" w:rsidP="007C6AD5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5D3E2C" w:rsidRDefault="007C6AD5" w:rsidP="007C6AD5"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>ОК-7, ОК-15, ПК-8, ПК-15.</w:t>
      </w:r>
    </w:p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4A78"/>
    <w:multiLevelType w:val="hybridMultilevel"/>
    <w:tmpl w:val="21D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6AD5"/>
    <w:rsid w:val="005D3E2C"/>
    <w:rsid w:val="007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2013-11-22T03:24:00Z</dcterms:created>
  <dcterms:modified xsi:type="dcterms:W3CDTF">2013-11-22T03:24:00Z</dcterms:modified>
</cp:coreProperties>
</file>