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6" w:rsidRPr="00AF0DE7" w:rsidRDefault="00901696" w:rsidP="0090169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0DE7">
        <w:rPr>
          <w:rFonts w:ascii="Times New Roman" w:hAnsi="Times New Roman"/>
          <w:b/>
          <w:sz w:val="20"/>
          <w:szCs w:val="20"/>
        </w:rPr>
        <w:t xml:space="preserve">Аннотация дисциплины </w:t>
      </w:r>
      <w:r>
        <w:rPr>
          <w:rFonts w:ascii="Times New Roman" w:hAnsi="Times New Roman"/>
          <w:sz w:val="20"/>
          <w:szCs w:val="20"/>
        </w:rPr>
        <w:t>Б.3.04.09</w:t>
      </w:r>
      <w:r w:rsidRPr="00AF0DE7">
        <w:rPr>
          <w:rFonts w:ascii="Times New Roman" w:hAnsi="Times New Roman"/>
          <w:b/>
          <w:sz w:val="20"/>
          <w:szCs w:val="20"/>
        </w:rPr>
        <w:t xml:space="preserve"> «ОСНОВЫ ИСКУССТВА ЭПОХИ БАРОККО И КЛАССИЦИЗМА»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1849"/>
        <w:gridCol w:w="2034"/>
        <w:gridCol w:w="3153"/>
        <w:gridCol w:w="2928"/>
        <w:gridCol w:w="2604"/>
        <w:gridCol w:w="2671"/>
      </w:tblGrid>
      <w:tr w:rsidR="00901696" w:rsidRPr="00AF0DE7" w:rsidTr="00DC3B57">
        <w:tc>
          <w:tcPr>
            <w:tcW w:w="673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91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190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199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974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697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796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901696" w:rsidRPr="00AF0DE7" w:rsidTr="00DC3B57">
        <w:tc>
          <w:tcPr>
            <w:tcW w:w="673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Б.3.04.09</w:t>
            </w:r>
          </w:p>
        </w:tc>
        <w:tc>
          <w:tcPr>
            <w:tcW w:w="1691" w:type="dxa"/>
          </w:tcPr>
          <w:p w:rsidR="00901696" w:rsidRPr="00AF0DE7" w:rsidRDefault="00901696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>ОСНОВЫ ИСКУССТВА ЭПОХИ БАРОККО И КЛАССИЦИЗМА</w:t>
            </w:r>
          </w:p>
        </w:tc>
        <w:tc>
          <w:tcPr>
            <w:tcW w:w="2190" w:type="dxa"/>
          </w:tcPr>
          <w:p w:rsidR="00901696" w:rsidRPr="00AF0DE7" w:rsidRDefault="00901696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Основные особенности. Стиль барокко. Общая характеристика. Стиль классицизм. Общая характеристика. «</w:t>
            </w:r>
            <w:proofErr w:type="spellStart"/>
            <w:r w:rsidRPr="00AF0DE7">
              <w:rPr>
                <w:rFonts w:ascii="Times New Roman" w:hAnsi="Times New Roman"/>
                <w:sz w:val="20"/>
                <w:szCs w:val="20"/>
              </w:rPr>
              <w:t>Внестилевая</w:t>
            </w:r>
            <w:proofErr w:type="spell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линия»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Италии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 Искусство Фландрии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Голландии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Испании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Франции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Основные особенности. Искусство Франции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Италии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Английское искусство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 Искусство Германии и стран Центральной и Восточной Европы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</w:tc>
        <w:tc>
          <w:tcPr>
            <w:tcW w:w="3199" w:type="dxa"/>
          </w:tcPr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Терминологический аппарат теории и истории искусства, применимый к изучению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Виды, роды и жанры искусства, получившие развитие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Стили, направления и течения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Основные этапы развития искусства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Общие особенности развития искусства данной исторической эпохи в соотношении с региональной спецификой.</w:t>
            </w:r>
          </w:p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Роль и значение основных явлений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 для дальнейшего развития искусства.</w:t>
            </w:r>
          </w:p>
          <w:p w:rsidR="00901696" w:rsidRPr="00AF0DE7" w:rsidRDefault="00901696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Творчество крупнейших мастеров и основные памятники эпохи.</w:t>
            </w:r>
          </w:p>
          <w:p w:rsidR="00901696" w:rsidRPr="00AF0DE7" w:rsidRDefault="00901696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Локализовать явления искусства во времени и пространстве.</w:t>
            </w:r>
          </w:p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Характеризовать основные явления и процессы в искусстве.</w:t>
            </w:r>
          </w:p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Сравнивать произведения искусства, выявлять общее и особенное. </w:t>
            </w:r>
          </w:p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Анализировать, сравнивать и выявлять общее и особенное в развитии искусства стран и регионов.</w:t>
            </w:r>
          </w:p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Оценивать произведения искусства.</w:t>
            </w:r>
          </w:p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Анализировать творчество мастеров искусства. </w:t>
            </w:r>
          </w:p>
          <w:p w:rsidR="00901696" w:rsidRPr="00AF0DE7" w:rsidRDefault="00901696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Демонстрировать на конкретных примерах разнообразие культурных явлений, стилей, направлений и течений в искусстве.</w:t>
            </w:r>
          </w:p>
          <w:p w:rsidR="00901696" w:rsidRPr="00AF0DE7" w:rsidRDefault="00901696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901696" w:rsidRPr="00AF0DE7" w:rsidRDefault="00901696" w:rsidP="00DC3B57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Навыками поиска, обработки и систематизации информационного и аудиовизуального материала по изучаемой дисциплине и его применения.</w:t>
            </w:r>
          </w:p>
          <w:p w:rsidR="00901696" w:rsidRPr="00AF0DE7" w:rsidRDefault="00901696" w:rsidP="00DC3B57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Приемами ясного, логичного и аргументированного изложения мысли в устной и письменной форме.</w:t>
            </w:r>
          </w:p>
          <w:p w:rsidR="00901696" w:rsidRPr="00AF0DE7" w:rsidRDefault="00901696" w:rsidP="00DC3B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Навыками научного анализа произведение искусства на основе знания художественного языка с применением искусствоведческих методов.</w:t>
            </w:r>
          </w:p>
          <w:p w:rsidR="00901696" w:rsidRPr="00AF0DE7" w:rsidRDefault="00901696" w:rsidP="00DC3B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Навыками работы с учебной и  научной литературой по вопросам теории и истории искусства изучаемого периода</w:t>
            </w:r>
          </w:p>
          <w:p w:rsidR="00901696" w:rsidRPr="00AF0DE7" w:rsidRDefault="00901696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Общекультурные: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владеет культурой мышления,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к обобщению, анализу, восприятию информации, постановке цели и выбору путей ее достижения (ОК – 1);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логически верно, аргументировано и ясно строить устную и письменную речь (ОК – 2)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анализировать социально-значимые социальные и художественные проблемы и процессы (ОК – 9); 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 – 12);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готов уважительно и бережно относится к историческому наследию, наследию истории искусства и культурным традициям, терпимо воспринимать </w:t>
            </w:r>
            <w:r w:rsidRPr="00AF0DE7">
              <w:rPr>
                <w:sz w:val="20"/>
                <w:szCs w:val="20"/>
              </w:rPr>
              <w:lastRenderedPageBreak/>
              <w:t xml:space="preserve">социальные, </w:t>
            </w:r>
            <w:proofErr w:type="spellStart"/>
            <w:r w:rsidRPr="00AF0DE7">
              <w:rPr>
                <w:sz w:val="20"/>
                <w:szCs w:val="20"/>
              </w:rPr>
              <w:t>этно-национальные</w:t>
            </w:r>
            <w:proofErr w:type="spellEnd"/>
            <w:r w:rsidRPr="00AF0DE7">
              <w:rPr>
                <w:sz w:val="20"/>
                <w:szCs w:val="20"/>
              </w:rPr>
              <w:t>, религиозные и культурные различия (ОК-18);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901696" w:rsidRPr="00AF0DE7" w:rsidRDefault="00901696" w:rsidP="00DC3B5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Профессиональные: </w:t>
            </w:r>
          </w:p>
          <w:p w:rsidR="00901696" w:rsidRPr="00AF0DE7" w:rsidRDefault="00901696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использовать в исследованиях по истории искусства базовые знания в области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 (ПК-1);</w:t>
            </w:r>
          </w:p>
          <w:p w:rsidR="00901696" w:rsidRPr="00AF0DE7" w:rsidRDefault="00901696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понимать движущие силы и закономерности исторического процесса и процесса развития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 (ПК-5);</w:t>
            </w:r>
          </w:p>
          <w:p w:rsidR="00901696" w:rsidRPr="00AF0DE7" w:rsidRDefault="00901696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-способен понимать, анализировать и критически использовать информацию по истории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вв. (ПК- 6);</w:t>
            </w:r>
          </w:p>
          <w:p w:rsidR="00901696" w:rsidRPr="00AF0DE7" w:rsidRDefault="00901696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в педагогической деятельности (ПК-11);</w:t>
            </w:r>
          </w:p>
          <w:p w:rsidR="00901696" w:rsidRPr="00AF0DE7" w:rsidRDefault="00901696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к разработке информационного обеспечения историко-</w:t>
            </w: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>культурных, историко-краеведческих, искусствоведческих аспектов, а также проблем, связанных с сохранением памятников искусства (ПК-14).</w:t>
            </w:r>
          </w:p>
          <w:p w:rsidR="00901696" w:rsidRPr="00AF0DE7" w:rsidRDefault="00901696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1696" w:rsidRPr="00AF0DE7" w:rsidRDefault="00901696" w:rsidP="0090169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1579" w:rsidRDefault="00971579"/>
    <w:sectPr w:rsidR="00971579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8EC"/>
    <w:multiLevelType w:val="hybridMultilevel"/>
    <w:tmpl w:val="8BF2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214FA"/>
    <w:multiLevelType w:val="hybridMultilevel"/>
    <w:tmpl w:val="C120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F3635"/>
    <w:multiLevelType w:val="hybridMultilevel"/>
    <w:tmpl w:val="A23C5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696"/>
    <w:rsid w:val="00901696"/>
    <w:rsid w:val="0097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6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1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90169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>Южно-Уральский государственный университет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fedotovayv</dc:creator>
  <cp:keywords/>
  <dc:description/>
  <cp:lastModifiedBy>fedotovayv</cp:lastModifiedBy>
  <cp:revision>1</cp:revision>
  <dcterms:created xsi:type="dcterms:W3CDTF">2014-04-28T10:36:00Z</dcterms:created>
  <dcterms:modified xsi:type="dcterms:W3CDTF">2014-04-28T10:36:00Z</dcterms:modified>
</cp:coreProperties>
</file>