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2E" w:rsidRPr="00714A04" w:rsidRDefault="004B332E" w:rsidP="004B332E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4B332E" w:rsidRPr="00714A04" w:rsidRDefault="004B332E" w:rsidP="004B332E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4B332E" w:rsidRPr="00714A04" w:rsidRDefault="004B332E" w:rsidP="004B332E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4B332E" w:rsidRPr="00714A04" w:rsidRDefault="004B332E" w:rsidP="004B332E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4B332E" w:rsidRPr="00714A04" w:rsidRDefault="004B332E" w:rsidP="004B332E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4B332E" w:rsidRPr="00714A04" w:rsidRDefault="004B332E" w:rsidP="004B332E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>Б.3.02.03. Литургическое богословие</w:t>
      </w:r>
      <w:r w:rsidRPr="00714A04">
        <w:rPr>
          <w:sz w:val="28"/>
          <w:szCs w:val="28"/>
        </w:rPr>
        <w:t>. Дисциплина трудоёмкостью 6 зачётных единиц или 216 часов. Итоговая аттестация – зачет, экзамен.</w:t>
      </w:r>
    </w:p>
    <w:p w:rsidR="004B332E" w:rsidRPr="00714A04" w:rsidRDefault="004B332E" w:rsidP="004B332E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Аннотация. Понятие культа; типология культов, функции культа. Молитва, богослужение, обряд, ритуал, мистерия и пр. Понятие жертвы. Христианское богослужение и его связь с церковным вероучением. Культ и культура; эволюция культа в истории. Таинство и обряд, основные христианские таинства, богослужение. Литургия. Сравнительная </w:t>
      </w:r>
      <w:proofErr w:type="spellStart"/>
      <w:r w:rsidRPr="00714A04">
        <w:rPr>
          <w:sz w:val="28"/>
          <w:szCs w:val="28"/>
        </w:rPr>
        <w:t>литургика</w:t>
      </w:r>
      <w:proofErr w:type="spellEnd"/>
      <w:r w:rsidRPr="00714A04">
        <w:rPr>
          <w:sz w:val="28"/>
          <w:szCs w:val="28"/>
        </w:rPr>
        <w:t xml:space="preserve">. Богослужение </w:t>
      </w:r>
      <w:proofErr w:type="spellStart"/>
      <w:r w:rsidRPr="00714A04">
        <w:rPr>
          <w:sz w:val="28"/>
          <w:szCs w:val="28"/>
        </w:rPr>
        <w:t>нехалкидонских</w:t>
      </w:r>
      <w:proofErr w:type="spellEnd"/>
      <w:r w:rsidRPr="00714A04">
        <w:rPr>
          <w:sz w:val="28"/>
          <w:szCs w:val="28"/>
        </w:rPr>
        <w:t xml:space="preserve">, </w:t>
      </w:r>
      <w:proofErr w:type="gramStart"/>
      <w:r w:rsidRPr="00714A04">
        <w:rPr>
          <w:sz w:val="28"/>
          <w:szCs w:val="28"/>
        </w:rPr>
        <w:t>католической</w:t>
      </w:r>
      <w:proofErr w:type="gramEnd"/>
      <w:r w:rsidRPr="00714A04">
        <w:rPr>
          <w:sz w:val="28"/>
          <w:szCs w:val="28"/>
        </w:rPr>
        <w:t xml:space="preserve"> и протестантских Церквей. Предметы культа: утварь, священные облачения и символы, священные реликвии; культовые сооружения: святилища, храмы, молитвенные дома и пр. Служители культа. Церковная иерархия. </w:t>
      </w:r>
      <w:proofErr w:type="gramStart"/>
      <w:r w:rsidRPr="00714A04">
        <w:rPr>
          <w:sz w:val="28"/>
          <w:szCs w:val="28"/>
        </w:rPr>
        <w:t>Историческая</w:t>
      </w:r>
      <w:proofErr w:type="gramEnd"/>
      <w:r w:rsidRPr="00714A04">
        <w:rPr>
          <w:sz w:val="28"/>
          <w:szCs w:val="28"/>
        </w:rPr>
        <w:t xml:space="preserve"> </w:t>
      </w:r>
      <w:proofErr w:type="spellStart"/>
      <w:r w:rsidRPr="00714A04">
        <w:rPr>
          <w:sz w:val="28"/>
          <w:szCs w:val="28"/>
        </w:rPr>
        <w:t>литургика</w:t>
      </w:r>
      <w:proofErr w:type="spellEnd"/>
      <w:r w:rsidRPr="00714A04">
        <w:rPr>
          <w:sz w:val="28"/>
          <w:szCs w:val="28"/>
        </w:rPr>
        <w:t xml:space="preserve"> и её предмет. </w:t>
      </w:r>
      <w:proofErr w:type="spellStart"/>
      <w:r w:rsidRPr="00714A04">
        <w:rPr>
          <w:sz w:val="28"/>
          <w:szCs w:val="28"/>
        </w:rPr>
        <w:t>Раннехристианское</w:t>
      </w:r>
      <w:proofErr w:type="spellEnd"/>
      <w:r w:rsidRPr="00714A04">
        <w:rPr>
          <w:sz w:val="28"/>
          <w:szCs w:val="28"/>
        </w:rPr>
        <w:t xml:space="preserve"> богослужение в его связи с храмовым и синагогальным иудейским богослужением. История формирования суточного круга богослужений. Ранние литургии. Формирование литургических семей. История анафоры. Развитие византийского формуляра литургии. Чин римской мессы. Ранние формы совершения таинств. Формирование византийских </w:t>
      </w:r>
      <w:proofErr w:type="spellStart"/>
      <w:r w:rsidRPr="00714A04">
        <w:rPr>
          <w:sz w:val="28"/>
          <w:szCs w:val="28"/>
        </w:rPr>
        <w:t>чинопоследований</w:t>
      </w:r>
      <w:proofErr w:type="spellEnd"/>
      <w:r w:rsidRPr="00714A04">
        <w:rPr>
          <w:sz w:val="28"/>
          <w:szCs w:val="28"/>
        </w:rPr>
        <w:t xml:space="preserve"> таинств. Древнейшие христианские праздники, древнейшие формы христианских богослужебных текстов и песнопений; классификация типов богослужебных текстов; возникновение новых христианских праздников; дни памяти мучеников и других христианских святых; формирование </w:t>
      </w:r>
      <w:proofErr w:type="spellStart"/>
      <w:r w:rsidRPr="00714A04">
        <w:rPr>
          <w:sz w:val="28"/>
          <w:szCs w:val="28"/>
        </w:rPr>
        <w:t>седмичного</w:t>
      </w:r>
      <w:proofErr w:type="spellEnd"/>
      <w:r w:rsidRPr="00714A04">
        <w:rPr>
          <w:sz w:val="28"/>
          <w:szCs w:val="28"/>
        </w:rPr>
        <w:t xml:space="preserve">, годового подвижного и годового неподвижного циклов праздников. Церковные </w:t>
      </w:r>
      <w:proofErr w:type="spellStart"/>
      <w:r w:rsidRPr="00714A04">
        <w:rPr>
          <w:sz w:val="28"/>
          <w:szCs w:val="28"/>
        </w:rPr>
        <w:t>песнописцы</w:t>
      </w:r>
      <w:proofErr w:type="spellEnd"/>
      <w:r w:rsidRPr="00714A04">
        <w:rPr>
          <w:sz w:val="28"/>
          <w:szCs w:val="28"/>
        </w:rPr>
        <w:t xml:space="preserve"> в Византии (Андрей Критский, Иоанн </w:t>
      </w:r>
      <w:proofErr w:type="spellStart"/>
      <w:r w:rsidRPr="00714A04">
        <w:rPr>
          <w:sz w:val="28"/>
          <w:szCs w:val="28"/>
        </w:rPr>
        <w:t>Дамаскин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Косма</w:t>
      </w:r>
      <w:proofErr w:type="spellEnd"/>
      <w:r w:rsidRPr="00714A04">
        <w:rPr>
          <w:sz w:val="28"/>
          <w:szCs w:val="28"/>
        </w:rPr>
        <w:t xml:space="preserve"> </w:t>
      </w:r>
      <w:proofErr w:type="spellStart"/>
      <w:r w:rsidRPr="00714A04">
        <w:rPr>
          <w:sz w:val="28"/>
          <w:szCs w:val="28"/>
        </w:rPr>
        <w:t>Маюмский</w:t>
      </w:r>
      <w:proofErr w:type="spellEnd"/>
      <w:r w:rsidRPr="00714A04">
        <w:rPr>
          <w:sz w:val="28"/>
          <w:szCs w:val="28"/>
        </w:rPr>
        <w:t>, Феодор</w:t>
      </w:r>
      <w:proofErr w:type="gramStart"/>
      <w:r w:rsidRPr="00714A04">
        <w:rPr>
          <w:sz w:val="28"/>
          <w:szCs w:val="28"/>
        </w:rPr>
        <w:t xml:space="preserve"> С</w:t>
      </w:r>
      <w:proofErr w:type="gramEnd"/>
      <w:r w:rsidRPr="00714A04">
        <w:rPr>
          <w:sz w:val="28"/>
          <w:szCs w:val="28"/>
        </w:rPr>
        <w:t xml:space="preserve">тудит, Кассия и др.). Древние кафедральные и монастырские богослужебные уставы (устав </w:t>
      </w:r>
      <w:proofErr w:type="spellStart"/>
      <w:r w:rsidRPr="00714A04">
        <w:rPr>
          <w:sz w:val="28"/>
          <w:szCs w:val="28"/>
        </w:rPr>
        <w:t>Песненного</w:t>
      </w:r>
      <w:proofErr w:type="spellEnd"/>
      <w:r w:rsidRPr="00714A04">
        <w:rPr>
          <w:sz w:val="28"/>
          <w:szCs w:val="28"/>
        </w:rPr>
        <w:t xml:space="preserve"> </w:t>
      </w:r>
      <w:proofErr w:type="spellStart"/>
      <w:r w:rsidRPr="00714A04">
        <w:rPr>
          <w:sz w:val="28"/>
          <w:szCs w:val="28"/>
        </w:rPr>
        <w:t>последования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святогробский</w:t>
      </w:r>
      <w:proofErr w:type="spellEnd"/>
      <w:r w:rsidRPr="00714A04">
        <w:rPr>
          <w:sz w:val="28"/>
          <w:szCs w:val="28"/>
        </w:rPr>
        <w:t xml:space="preserve"> устав, Студийский и Иерусалимский уставы). Формирование корпуса богослужебных книг. Древние </w:t>
      </w:r>
      <w:proofErr w:type="spellStart"/>
      <w:r w:rsidRPr="00714A04">
        <w:rPr>
          <w:sz w:val="28"/>
          <w:szCs w:val="28"/>
        </w:rPr>
        <w:t>евхологии</w:t>
      </w:r>
      <w:proofErr w:type="spellEnd"/>
      <w:r w:rsidRPr="00714A04">
        <w:rPr>
          <w:sz w:val="28"/>
          <w:szCs w:val="28"/>
        </w:rPr>
        <w:t xml:space="preserve">, часословы, типиконы, </w:t>
      </w:r>
      <w:proofErr w:type="spellStart"/>
      <w:r w:rsidRPr="00714A04">
        <w:rPr>
          <w:sz w:val="28"/>
          <w:szCs w:val="28"/>
        </w:rPr>
        <w:t>лекционарии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бревиарии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миссалы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гимнографические</w:t>
      </w:r>
      <w:proofErr w:type="spellEnd"/>
      <w:r w:rsidRPr="00714A04">
        <w:rPr>
          <w:sz w:val="28"/>
          <w:szCs w:val="28"/>
        </w:rPr>
        <w:t xml:space="preserve"> сборники. Развитый («</w:t>
      </w:r>
      <w:proofErr w:type="spellStart"/>
      <w:r w:rsidRPr="00714A04">
        <w:rPr>
          <w:sz w:val="28"/>
          <w:szCs w:val="28"/>
        </w:rPr>
        <w:t>неосавваитский</w:t>
      </w:r>
      <w:proofErr w:type="spellEnd"/>
      <w:r w:rsidRPr="00714A04">
        <w:rPr>
          <w:sz w:val="28"/>
          <w:szCs w:val="28"/>
        </w:rPr>
        <w:t>») Иерусалимский устав в греческих и славянских Церквах. Богослужение в славянских странах и в Древней Руси. Реформы русского богослужения. Богослужение на Западе.</w:t>
      </w:r>
    </w:p>
    <w:p w:rsidR="004B332E" w:rsidRPr="00714A04" w:rsidRDefault="004B332E" w:rsidP="004B332E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4B332E" w:rsidRPr="00714A04" w:rsidRDefault="004B332E" w:rsidP="004B332E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нормы традиционной морали и нравственности;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основы по предметам профессионального цикла;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основы русского, церковно-славянского, греческого и латинского языков;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lastRenderedPageBreak/>
        <w:t xml:space="preserve">методологию научных исследований;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порядок богослужебных </w:t>
      </w:r>
      <w:proofErr w:type="spellStart"/>
      <w:r w:rsidRPr="00714A04">
        <w:rPr>
          <w:sz w:val="28"/>
          <w:szCs w:val="28"/>
        </w:rPr>
        <w:t>чинопоследований</w:t>
      </w:r>
      <w:proofErr w:type="spellEnd"/>
      <w:r w:rsidRPr="00714A04">
        <w:rPr>
          <w:sz w:val="28"/>
          <w:szCs w:val="28"/>
        </w:rPr>
        <w:t xml:space="preserve"> и их и содержание;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понятия из основных разделов богословских наук в их взаимосвязи. </w:t>
      </w:r>
    </w:p>
    <w:p w:rsidR="004B332E" w:rsidRPr="00714A04" w:rsidRDefault="004B332E" w:rsidP="004B332E">
      <w:pPr>
        <w:pStyle w:val="Default"/>
        <w:jc w:val="both"/>
        <w:rPr>
          <w:sz w:val="28"/>
          <w:szCs w:val="28"/>
        </w:rPr>
      </w:pPr>
    </w:p>
    <w:p w:rsidR="004B332E" w:rsidRPr="00714A04" w:rsidRDefault="004B332E" w:rsidP="004B332E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дифференцировано использовать имеющиеся знания применительно к сфере деятельности теолога;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анализировать и использовать полученную информацию в учебной и профессиональной деятельности;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проводить сопоставление переводов сакральных текстов;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источниками, анализировать, использовать и применять знания основных разделов теологии в их взаимосвязи;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и интерпретировать тексты богослужебных книг Православной Церкви; </w:t>
      </w:r>
    </w:p>
    <w:p w:rsidR="004B332E" w:rsidRPr="00714A04" w:rsidRDefault="004B332E" w:rsidP="004B332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систематизировать и анализировать информацию, учитывать единство теологического знания. </w:t>
      </w:r>
    </w:p>
    <w:p w:rsidR="004B332E" w:rsidRDefault="004B332E" w:rsidP="004B332E">
      <w:pPr>
        <w:pStyle w:val="Default"/>
        <w:jc w:val="both"/>
        <w:rPr>
          <w:sz w:val="28"/>
          <w:szCs w:val="28"/>
          <w:lang w:val="en-US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bCs/>
          <w:sz w:val="28"/>
          <w:szCs w:val="28"/>
        </w:rPr>
        <w:tab/>
      </w:r>
      <w:r w:rsidRPr="00714A04">
        <w:rPr>
          <w:sz w:val="28"/>
          <w:szCs w:val="28"/>
        </w:rPr>
        <w:t xml:space="preserve">ОК-3, ОК-10, ОК-15, ПК-1, ПК-7, ПК-13 </w:t>
      </w:r>
    </w:p>
    <w:p w:rsidR="00801A06" w:rsidRDefault="00801A06" w:rsidP="004B332E">
      <w:pPr>
        <w:pStyle w:val="Default"/>
        <w:jc w:val="both"/>
        <w:rPr>
          <w:sz w:val="28"/>
          <w:szCs w:val="28"/>
          <w:lang w:val="en-US"/>
        </w:rPr>
      </w:pPr>
    </w:p>
    <w:sectPr w:rsidR="00801A06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69F"/>
    <w:multiLevelType w:val="hybridMultilevel"/>
    <w:tmpl w:val="724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67480"/>
    <w:multiLevelType w:val="hybridMultilevel"/>
    <w:tmpl w:val="E898AC14"/>
    <w:lvl w:ilvl="0" w:tplc="7E3AD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6F7E8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332E"/>
    <w:rsid w:val="004B332E"/>
    <w:rsid w:val="005D3E2C"/>
    <w:rsid w:val="00801A06"/>
    <w:rsid w:val="00D7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>Южно-Уральский государственный университет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fedotovayv</cp:lastModifiedBy>
  <cp:revision>2</cp:revision>
  <dcterms:created xsi:type="dcterms:W3CDTF">2013-11-22T03:17:00Z</dcterms:created>
  <dcterms:modified xsi:type="dcterms:W3CDTF">2013-11-22T04:18:00Z</dcterms:modified>
</cp:coreProperties>
</file>